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jc w:val="left"/>
        <w:spacing w:before="0" w:after="242"/>
        <w:ind w:left="1220" w:right="82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АНАЛИТИЧЕСКАЯ СПРАВКА качества развивающей предметно - пространственной среды МДОУ «Детский сад «Солнышко» п. Новоселки»</w:t>
      </w:r>
      <w:bookmarkEnd w:id="0"/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учреждении имеется достаточная материально-техническая база, создана предметно-развивающая среда, обеспечивающая полноценное физическое, эстетическое, познавательное и социальное развитие. 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 познавательное развитие; речевое развитие; художественно - эстетическое развитие; физическое развитие).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образовательном учреждении сформированы: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групповые помещения с игровыми, раздевальными, туалетными и спальными комнатами;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музыкальный зал;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спортивный зал;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библиотека;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комната природы;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краеведческий музей;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-медицинский блок;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-методический кабинет.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 учителя - логопеда и педагога психолога;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пищеблок с моечной кухонной посуды, подсобными помещениями (кладовыми), холодильниками, электроплитой.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160" w:right="54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помещения детского сада оборудованы в соответствии с их функциональными назначениями и отвечают санитарно-гигиеническим требованиям, правилам пожарной безопасности.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Предметно - пространственная среда групповых помещений соответствует возрасту воспитанников, а также их актуальным и индивидуальным особенностям, особенностям детского восприятия. Образовательное пространство групп оснащено необходимой мебелью, средствами обучения и воспитания, игровым, спортивным, оздоровительным оборудованием, инвентарем и материалами. Выделены и оборудованы зоны для игр, занятий, отдыха: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зона для проведения образовательной деятельности;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центр физического развития;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центр искусства и художественного творчества;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мини-библиотека;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центр конструирования;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центр природы и экспериментирования;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игровой центр;</w:t>
      </w:r>
    </w:p>
    <w:p>
      <w:pPr>
        <w:pStyle w:val="Style5"/>
        <w:numPr>
          <w:ilvl w:val="0"/>
          <w:numId w:val="1"/>
        </w:numPr>
        <w:framePr w:w="9638" w:h="14877" w:hRule="exact" w:wrap="none" w:vAnchor="page" w:hAnchor="page" w:x="1555" w:y="1020"/>
        <w:tabs>
          <w:tab w:leader="none" w:pos="3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уголок уединения.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игры и пособия в группах доступны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5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Предметно - развивающая среда групп меняется в зависимости от возрастных и индивидуальных особенностей детей, образовательной программы.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раздевалках групповых помещений оформлены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детей).</w:t>
      </w:r>
    </w:p>
    <w:p>
      <w:pPr>
        <w:pStyle w:val="Style5"/>
        <w:framePr w:w="9638" w:h="14877" w:hRule="exact" w:wrap="none" w:vAnchor="page" w:hAnchor="page" w:x="1555" w:y="102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4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18" w:h="7229" w:hRule="exact" w:wrap="none" w:vAnchor="page" w:hAnchor="page" w:x="1665" w:y="10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территории дошкольного учреждения оборудованы:</w:t>
      </w:r>
    </w:p>
    <w:p>
      <w:pPr>
        <w:pStyle w:val="Style5"/>
        <w:numPr>
          <w:ilvl w:val="0"/>
          <w:numId w:val="1"/>
        </w:numPr>
        <w:framePr w:w="9418" w:h="7229" w:hRule="exact" w:wrap="none" w:vAnchor="page" w:hAnchor="page" w:x="1665" w:y="1057"/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игровые площадки для каждой возрастной группы, на которых размещены игровые постройки, скамейки, беседки;</w:t>
      </w:r>
    </w:p>
    <w:p>
      <w:pPr>
        <w:pStyle w:val="Style5"/>
        <w:numPr>
          <w:ilvl w:val="0"/>
          <w:numId w:val="1"/>
        </w:numPr>
        <w:framePr w:w="9418" w:h="7229" w:hRule="exact" w:wrap="none" w:vAnchor="page" w:hAnchor="page" w:x="1665" w:y="1057"/>
        <w:tabs>
          <w:tab w:leader="none" w:pos="2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площадка по ПДД;</w:t>
      </w:r>
    </w:p>
    <w:p>
      <w:pPr>
        <w:pStyle w:val="Style5"/>
        <w:numPr>
          <w:ilvl w:val="0"/>
          <w:numId w:val="1"/>
        </w:numPr>
        <w:framePr w:w="9418" w:h="7229" w:hRule="exact" w:wrap="none" w:vAnchor="page" w:hAnchor="page" w:x="1665" w:y="105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хозяйственная зона (помещения для хранения хозяйственного инвентаря, место для сушки белья, площадка для сбора мусора и пищевых отходов).</w:t>
      </w:r>
    </w:p>
    <w:p>
      <w:pPr>
        <w:pStyle w:val="Style5"/>
        <w:framePr w:w="9418" w:h="7229" w:hRule="exact" w:wrap="none" w:vAnchor="page" w:hAnchor="page" w:x="1665" w:y="10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Территория дошкольного учреждения благоустроена, оформлены цветники, клумбы, огород. По всему периметру детского сада имеется ограждение, калитки и ворота закрыты на замок. Входные двери оснащены электронными замками. Все входы в здание оборудованы осветительными приборами. Установлены камеры видеонаблюдения по внешнему периметру здания.</w:t>
      </w:r>
    </w:p>
    <w:p>
      <w:pPr>
        <w:pStyle w:val="Style5"/>
        <w:framePr w:w="9418" w:h="7229" w:hRule="exact" w:wrap="none" w:vAnchor="page" w:hAnchor="page" w:x="1665" w:y="1057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МДОУ подключена автоматическая пожарная сигнализация на пульт единой диспетчерской службы. Помещение снабжено средствами пожаротушения, разработаны схемы плана эвакуации детей и взрослых, регулярно проводится инструктаж со всем коллективом на случай возникновения пожара. Систематически в МДОУ с воспитанниками и сотрудниками организуются плановые тренировки по пожарной эвакуации, оформлены соответствующие акты и протоколы.</w:t>
      </w:r>
    </w:p>
    <w:p>
      <w:pPr>
        <w:pStyle w:val="Style5"/>
        <w:framePr w:w="9418" w:h="7229" w:hRule="exact" w:wrap="none" w:vAnchor="page" w:hAnchor="page" w:x="1665" w:y="10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7"/>
        </w:rPr>
        <w:t xml:space="preserve">Вывод - рекомендации: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развивающая предметно - пространственная среда нашего учреждения соответствует требованиям ФГОС ДО, в перспективе мы бы хотели видеть её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интерактивного оборудования, которые позволят создать условия для организации образовательного процесса, для интеграции содержания образовательных областей в соответствии с Федеральной образовательной программой дошкольного образования (ФОП ДО).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180" w:line="350" w:lineRule="exact"/>
      <w:ind w:firstLine="15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180"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